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44C62" w14:textId="77777777" w:rsidR="0022138E" w:rsidRDefault="00F33920">
      <w:pPr>
        <w:pStyle w:val="Heading1"/>
        <w:keepLines w:val="0"/>
        <w:spacing w:before="0" w:line="264" w:lineRule="auto"/>
        <w:rPr>
          <w:sz w:val="28"/>
          <w:szCs w:val="28"/>
        </w:rPr>
      </w:pPr>
      <w:r>
        <w:rPr>
          <w:rFonts w:ascii="Verdana" w:eastAsia="Verdana" w:hAnsi="Verdana" w:cs="Verdana"/>
          <w:color w:val="061AB1"/>
          <w:sz w:val="28"/>
          <w:szCs w:val="28"/>
        </w:rPr>
        <w:t>Press release</w:t>
      </w:r>
    </w:p>
    <w:p w14:paraId="73331A59" w14:textId="77777777" w:rsidR="0022138E" w:rsidRDefault="0022138E"/>
    <w:p w14:paraId="4756A845" w14:textId="3615B0FC" w:rsidR="0022138E" w:rsidRPr="00430EF2" w:rsidRDefault="00F33920" w:rsidP="00430EF2">
      <w:pPr>
        <w:rPr>
          <w:sz w:val="48"/>
          <w:szCs w:val="48"/>
        </w:rPr>
      </w:pPr>
      <w:r>
        <w:rPr>
          <w:rFonts w:ascii="Verdana" w:eastAsia="Verdana" w:hAnsi="Verdana" w:cs="Verdana"/>
          <w:b/>
          <w:bCs/>
          <w:color w:val="061AB1"/>
          <w:sz w:val="48"/>
          <w:szCs w:val="48"/>
        </w:rPr>
        <w:t xml:space="preserve">GLS Announces Expansion into Serbia </w:t>
      </w:r>
      <w:bookmarkStart w:id="0" w:name="_GoBack"/>
      <w:bookmarkEnd w:id="0"/>
    </w:p>
    <w:p w14:paraId="62824C9C" w14:textId="77777777" w:rsidR="0022138E" w:rsidRDefault="0022138E">
      <w:pPr>
        <w:pBdr>
          <w:left w:val="none" w:sz="0" w:space="14" w:color="auto"/>
        </w:pBdr>
        <w:ind w:left="720"/>
        <w:rPr>
          <w:sz w:val="22"/>
          <w:szCs w:val="22"/>
        </w:rPr>
      </w:pPr>
    </w:p>
    <w:p w14:paraId="3BC1EBF1" w14:textId="77777777" w:rsidR="0022138E" w:rsidRDefault="0022138E">
      <w:pPr>
        <w:pBdr>
          <w:left w:val="none" w:sz="0" w:space="14" w:color="auto"/>
        </w:pBdr>
        <w:ind w:left="720"/>
        <w:rPr>
          <w:sz w:val="22"/>
          <w:szCs w:val="22"/>
        </w:rPr>
      </w:pPr>
    </w:p>
    <w:p w14:paraId="19854C47" w14:textId="2398F146" w:rsidR="0022138E" w:rsidRDefault="3D9770FE" w:rsidP="3D9770FE">
      <w:pPr>
        <w:numPr>
          <w:ilvl w:val="0"/>
          <w:numId w:val="1"/>
        </w:numPr>
        <w:pBdr>
          <w:left w:val="none" w:sz="0" w:space="18" w:color="auto"/>
        </w:pBdr>
        <w:ind w:hanging="634"/>
        <w:rPr>
          <w:sz w:val="22"/>
          <w:szCs w:val="22"/>
        </w:rPr>
      </w:pPr>
      <w:r w:rsidRPr="3D9770FE">
        <w:rPr>
          <w:rFonts w:ascii="Verdana" w:eastAsia="Verdana" w:hAnsi="Verdana" w:cs="Verdana"/>
          <w:sz w:val="22"/>
          <w:szCs w:val="22"/>
        </w:rPr>
        <w:t xml:space="preserve">GLS announces expansion into Serbia as part of its goal to </w:t>
      </w:r>
      <w:r w:rsidR="006D2CE8">
        <w:rPr>
          <w:rFonts w:ascii="Verdana" w:eastAsia="Verdana" w:hAnsi="Verdana" w:cs="Verdana"/>
          <w:sz w:val="22"/>
          <w:szCs w:val="22"/>
        </w:rPr>
        <w:t>expand</w:t>
      </w:r>
      <w:r w:rsidR="006D2CE8" w:rsidRPr="3D9770FE">
        <w:rPr>
          <w:rFonts w:ascii="Verdana" w:eastAsia="Verdana" w:hAnsi="Verdana" w:cs="Verdana"/>
          <w:sz w:val="22"/>
          <w:szCs w:val="22"/>
        </w:rPr>
        <w:t xml:space="preserve"> </w:t>
      </w:r>
      <w:r w:rsidRPr="3D9770FE">
        <w:rPr>
          <w:rFonts w:ascii="Verdana" w:eastAsia="Verdana" w:hAnsi="Verdana" w:cs="Verdana"/>
          <w:sz w:val="22"/>
          <w:szCs w:val="22"/>
        </w:rPr>
        <w:t>its footprint.</w:t>
      </w:r>
    </w:p>
    <w:p w14:paraId="29CBFD76" w14:textId="77777777" w:rsidR="0022138E" w:rsidRDefault="00F33920">
      <w:pPr>
        <w:numPr>
          <w:ilvl w:val="0"/>
          <w:numId w:val="1"/>
        </w:numPr>
        <w:pBdr>
          <w:left w:val="none" w:sz="0" w:space="18" w:color="auto"/>
        </w:pBdr>
        <w:ind w:hanging="634"/>
        <w:rPr>
          <w:sz w:val="22"/>
          <w:szCs w:val="22"/>
        </w:rPr>
      </w:pPr>
      <w:r>
        <w:rPr>
          <w:rFonts w:ascii="Verdana" w:eastAsia="Verdana" w:hAnsi="Verdana" w:cs="Verdana"/>
          <w:sz w:val="22"/>
          <w:szCs w:val="22"/>
        </w:rPr>
        <w:t xml:space="preserve">The expansion </w:t>
      </w:r>
      <w:r w:rsidR="006D2CE8">
        <w:rPr>
          <w:rFonts w:ascii="Verdana" w:eastAsia="Verdana" w:hAnsi="Verdana" w:cs="Verdana"/>
          <w:sz w:val="22"/>
          <w:szCs w:val="22"/>
        </w:rPr>
        <w:t xml:space="preserve">further </w:t>
      </w:r>
      <w:r>
        <w:rPr>
          <w:rFonts w:ascii="Verdana" w:eastAsia="Verdana" w:hAnsi="Verdana" w:cs="Verdana"/>
          <w:sz w:val="22"/>
          <w:szCs w:val="22"/>
        </w:rPr>
        <w:t>strengthens the company’s position in Eastern Europe.</w:t>
      </w:r>
    </w:p>
    <w:p w14:paraId="5C1C51B2" w14:textId="77777777" w:rsidR="00ED275E" w:rsidRPr="00ED275E" w:rsidRDefault="3D9770FE" w:rsidP="3D9770FE">
      <w:pPr>
        <w:numPr>
          <w:ilvl w:val="0"/>
          <w:numId w:val="1"/>
        </w:numPr>
        <w:pBdr>
          <w:left w:val="none" w:sz="0" w:space="18" w:color="auto"/>
        </w:pBdr>
        <w:ind w:hanging="634"/>
        <w:rPr>
          <w:sz w:val="22"/>
          <w:szCs w:val="22"/>
        </w:rPr>
      </w:pPr>
      <w:r w:rsidRPr="3D9770FE">
        <w:rPr>
          <w:rFonts w:ascii="Verdana" w:eastAsia="Verdana" w:hAnsi="Verdana" w:cs="Verdana"/>
          <w:sz w:val="22"/>
          <w:szCs w:val="22"/>
        </w:rPr>
        <w:t xml:space="preserve">It allows GLS to capture significant growth opportunities due to a major </w:t>
      </w:r>
    </w:p>
    <w:p w14:paraId="11C75E27" w14:textId="21F55721" w:rsidR="0022138E" w:rsidRDefault="3D9770FE" w:rsidP="00ED275E">
      <w:pPr>
        <w:pBdr>
          <w:left w:val="none" w:sz="0" w:space="18" w:color="auto"/>
        </w:pBdr>
        <w:ind w:left="720"/>
        <w:rPr>
          <w:sz w:val="22"/>
          <w:szCs w:val="22"/>
        </w:rPr>
      </w:pPr>
      <w:r w:rsidRPr="3D9770FE">
        <w:rPr>
          <w:rFonts w:ascii="Verdana" w:eastAsia="Verdana" w:hAnsi="Verdana" w:cs="Verdana"/>
          <w:sz w:val="22"/>
          <w:szCs w:val="22"/>
        </w:rPr>
        <w:t>e-commerce boom in the country.</w:t>
      </w:r>
    </w:p>
    <w:p w14:paraId="2873C02E" w14:textId="3D6CE252" w:rsidR="0022138E" w:rsidRDefault="00F33920">
      <w:pPr>
        <w:numPr>
          <w:ilvl w:val="0"/>
          <w:numId w:val="1"/>
        </w:numPr>
        <w:pBdr>
          <w:left w:val="none" w:sz="0" w:space="18" w:color="auto"/>
        </w:pBdr>
        <w:ind w:hanging="634"/>
        <w:rPr>
          <w:sz w:val="22"/>
          <w:szCs w:val="22"/>
        </w:rPr>
      </w:pPr>
      <w:bookmarkStart w:id="1" w:name="_Hlk129772420"/>
      <w:r>
        <w:rPr>
          <w:rFonts w:ascii="Verdana" w:eastAsia="Verdana" w:hAnsi="Verdana" w:cs="Verdana"/>
          <w:sz w:val="22"/>
          <w:szCs w:val="22"/>
        </w:rPr>
        <w:t>Serbian customers across the country can benefit from GLS’ wide range of high-quality services.</w:t>
      </w:r>
    </w:p>
    <w:bookmarkEnd w:id="1"/>
    <w:p w14:paraId="7BA07F85" w14:textId="77777777" w:rsidR="0022138E" w:rsidRDefault="0022138E">
      <w:pPr>
        <w:pBdr>
          <w:left w:val="none" w:sz="0" w:space="7" w:color="auto"/>
        </w:pBdr>
        <w:ind w:left="140"/>
        <w:rPr>
          <w:color w:val="0E101A"/>
          <w:sz w:val="22"/>
          <w:szCs w:val="22"/>
        </w:rPr>
      </w:pPr>
    </w:p>
    <w:p w14:paraId="57491736" w14:textId="77777777" w:rsidR="0022138E" w:rsidRDefault="0022138E">
      <w:pPr>
        <w:rPr>
          <w:rFonts w:ascii="Calibri" w:eastAsia="Calibri" w:hAnsi="Calibri" w:cs="Calibri"/>
          <w:sz w:val="22"/>
          <w:szCs w:val="22"/>
        </w:rPr>
      </w:pPr>
    </w:p>
    <w:p w14:paraId="2A0C633C" w14:textId="295AF853" w:rsidR="0022138E" w:rsidRDefault="00F33920">
      <w:pPr>
        <w:rPr>
          <w:sz w:val="22"/>
          <w:szCs w:val="22"/>
        </w:rPr>
      </w:pPr>
      <w:r>
        <w:rPr>
          <w:rFonts w:ascii="Verdana" w:eastAsia="Verdana" w:hAnsi="Verdana" w:cs="Verdana"/>
          <w:b/>
          <w:bCs/>
          <w:sz w:val="22"/>
          <w:szCs w:val="22"/>
        </w:rPr>
        <w:t xml:space="preserve">Amsterdam, </w:t>
      </w:r>
      <w:r w:rsidR="00ED275E">
        <w:rPr>
          <w:rFonts w:ascii="Verdana" w:eastAsia="Verdana" w:hAnsi="Verdana" w:cs="Verdana"/>
          <w:b/>
          <w:bCs/>
          <w:sz w:val="22"/>
          <w:szCs w:val="22"/>
        </w:rPr>
        <w:t xml:space="preserve">19 </w:t>
      </w:r>
      <w:r>
        <w:rPr>
          <w:rFonts w:ascii="Verdana" w:eastAsia="Verdana" w:hAnsi="Verdana" w:cs="Verdana"/>
          <w:b/>
          <w:bCs/>
          <w:sz w:val="22"/>
          <w:szCs w:val="22"/>
        </w:rPr>
        <w:t>April 2023</w:t>
      </w:r>
      <w:r>
        <w:rPr>
          <w:sz w:val="22"/>
          <w:szCs w:val="22"/>
        </w:rPr>
        <w:t xml:space="preserve"> - </w:t>
      </w:r>
      <w:r>
        <w:rPr>
          <w:rFonts w:ascii="Verdana" w:eastAsia="Verdana" w:hAnsi="Verdana" w:cs="Verdana"/>
          <w:sz w:val="22"/>
          <w:szCs w:val="22"/>
        </w:rPr>
        <w:t xml:space="preserve">GLS, a leading parcel service provider, announces its expansion into Serbia. The move is part of the company’s goal to further expand its footprint and strengthens its position in Eastern Europe. </w:t>
      </w:r>
    </w:p>
    <w:p w14:paraId="3847CEDD" w14:textId="77777777" w:rsidR="0022138E" w:rsidRDefault="0022138E">
      <w:pPr>
        <w:rPr>
          <w:rFonts w:ascii="Verdana" w:eastAsia="Verdana" w:hAnsi="Verdana" w:cs="Verdana"/>
          <w:sz w:val="22"/>
          <w:szCs w:val="22"/>
        </w:rPr>
      </w:pPr>
    </w:p>
    <w:p w14:paraId="35D7B480" w14:textId="77777777" w:rsidR="0022138E" w:rsidRDefault="3D9770FE">
      <w:pPr>
        <w:rPr>
          <w:sz w:val="22"/>
          <w:szCs w:val="22"/>
        </w:rPr>
      </w:pPr>
      <w:r w:rsidRPr="3D9770FE">
        <w:rPr>
          <w:rFonts w:ascii="Verdana" w:eastAsia="Verdana" w:hAnsi="Verdana" w:cs="Verdana"/>
          <w:sz w:val="22"/>
          <w:szCs w:val="22"/>
        </w:rPr>
        <w:t xml:space="preserve">Serbia continues to experience a major boom in e-commerce, with a growing need in the region for a wider range of delivery options. Through its strong, international network, GLS offers a reliable logistics alternative to the market, providing high quality services already appreciated by more than 250,000 customers in Europe and North America. </w:t>
      </w:r>
    </w:p>
    <w:p w14:paraId="2F345F87" w14:textId="77777777" w:rsidR="0022138E" w:rsidRDefault="0022138E">
      <w:pPr>
        <w:rPr>
          <w:rFonts w:ascii="Verdana" w:eastAsia="Verdana" w:hAnsi="Verdana" w:cs="Verdana"/>
          <w:sz w:val="22"/>
          <w:szCs w:val="22"/>
        </w:rPr>
      </w:pPr>
    </w:p>
    <w:p w14:paraId="07418D65" w14:textId="26C273AD" w:rsidR="0022138E" w:rsidRDefault="00F33920">
      <w:pPr>
        <w:rPr>
          <w:sz w:val="22"/>
          <w:szCs w:val="22"/>
        </w:rPr>
      </w:pPr>
      <w:bookmarkStart w:id="2" w:name="_Hlk131091519"/>
      <w:r>
        <w:rPr>
          <w:rFonts w:ascii="Verdana" w:eastAsia="Verdana" w:hAnsi="Verdana" w:cs="Verdana"/>
          <w:sz w:val="22"/>
          <w:szCs w:val="22"/>
        </w:rPr>
        <w:t xml:space="preserve">Senders and receivers in Serbia can benefit from GLS’ renowned and convenient solutions such as </w:t>
      </w:r>
      <w:proofErr w:type="spellStart"/>
      <w:r>
        <w:rPr>
          <w:rFonts w:ascii="Verdana" w:eastAsia="Verdana" w:hAnsi="Verdana" w:cs="Verdana"/>
          <w:sz w:val="22"/>
          <w:szCs w:val="22"/>
        </w:rPr>
        <w:t>FlexDeliveryServices</w:t>
      </w:r>
      <w:proofErr w:type="spellEnd"/>
      <w:r>
        <w:rPr>
          <w:rFonts w:ascii="Verdana" w:eastAsia="Verdana" w:hAnsi="Verdana" w:cs="Verdana"/>
          <w:sz w:val="22"/>
          <w:szCs w:val="22"/>
        </w:rPr>
        <w:t>,</w:t>
      </w:r>
      <w:bookmarkEnd w:id="2"/>
      <w:r>
        <w:rPr>
          <w:rFonts w:ascii="Verdana" w:eastAsia="Verdana" w:hAnsi="Verdana" w:cs="Verdana"/>
          <w:sz w:val="22"/>
          <w:szCs w:val="22"/>
        </w:rPr>
        <w:t xml:space="preserve"> which makes it easy </w:t>
      </w:r>
      <w:r w:rsidR="006D2CE8">
        <w:rPr>
          <w:rFonts w:ascii="Verdana" w:eastAsia="Verdana" w:hAnsi="Verdana" w:cs="Verdana"/>
          <w:sz w:val="22"/>
          <w:szCs w:val="22"/>
        </w:rPr>
        <w:t>for the recipient to adapt the parcel delivery to his needs</w:t>
      </w:r>
      <w:r>
        <w:rPr>
          <w:rFonts w:ascii="Verdana" w:eastAsia="Verdana" w:hAnsi="Verdana" w:cs="Verdana"/>
          <w:sz w:val="22"/>
          <w:szCs w:val="22"/>
        </w:rPr>
        <w:t xml:space="preserve">. </w:t>
      </w:r>
      <w:r w:rsidR="3D9770FE" w:rsidRPr="3D9770FE">
        <w:rPr>
          <w:rFonts w:ascii="Verdana" w:eastAsia="Verdana" w:hAnsi="Verdana" w:cs="Verdana"/>
          <w:sz w:val="22"/>
          <w:szCs w:val="22"/>
        </w:rPr>
        <w:t xml:space="preserve">With its central hub in Belgrade and three depots in major cities, Novi Sad, </w:t>
      </w:r>
      <w:proofErr w:type="spellStart"/>
      <w:r w:rsidR="3D9770FE" w:rsidRPr="3D9770FE">
        <w:rPr>
          <w:rFonts w:ascii="Verdana" w:eastAsia="Verdana" w:hAnsi="Verdana" w:cs="Verdana"/>
          <w:sz w:val="22"/>
          <w:szCs w:val="22"/>
        </w:rPr>
        <w:t>Niš</w:t>
      </w:r>
      <w:proofErr w:type="spellEnd"/>
      <w:r w:rsidR="3D9770FE" w:rsidRPr="3D9770FE">
        <w:rPr>
          <w:rFonts w:ascii="Verdana" w:eastAsia="Verdana" w:hAnsi="Verdana" w:cs="Verdana"/>
          <w:sz w:val="22"/>
          <w:szCs w:val="22"/>
        </w:rPr>
        <w:t xml:space="preserve"> and Kragujevac, GLS </w:t>
      </w:r>
      <w:r w:rsidRPr="3D9770FE">
        <w:rPr>
          <w:rFonts w:ascii="Verdana" w:eastAsia="Verdana" w:hAnsi="Verdana" w:cs="Verdana"/>
          <w:sz w:val="22"/>
          <w:szCs w:val="22"/>
        </w:rPr>
        <w:t>now delivers parcels to every address in Serbia</w:t>
      </w:r>
      <w:r w:rsidR="3D9770FE" w:rsidRPr="3D9770FE">
        <w:rPr>
          <w:rFonts w:ascii="Verdana" w:eastAsia="Verdana" w:hAnsi="Verdana" w:cs="Verdana"/>
          <w:sz w:val="22"/>
          <w:szCs w:val="22"/>
        </w:rPr>
        <w:t xml:space="preserve"> and can connect its customers to international locations. </w:t>
      </w:r>
    </w:p>
    <w:p w14:paraId="78DA1CE0" w14:textId="77777777" w:rsidR="0022138E" w:rsidRDefault="0022138E">
      <w:pPr>
        <w:rPr>
          <w:rFonts w:ascii="Verdana" w:eastAsia="Verdana" w:hAnsi="Verdana" w:cs="Verdana"/>
          <w:sz w:val="22"/>
          <w:szCs w:val="22"/>
        </w:rPr>
      </w:pPr>
    </w:p>
    <w:p w14:paraId="6292BEA0" w14:textId="77777777" w:rsidR="0022138E" w:rsidRDefault="00F33920">
      <w:pPr>
        <w:rPr>
          <w:sz w:val="22"/>
          <w:szCs w:val="22"/>
        </w:rPr>
      </w:pPr>
      <w:bookmarkStart w:id="3" w:name="_Hlk129774155"/>
      <w:r>
        <w:rPr>
          <w:rFonts w:ascii="Verdana" w:eastAsia="Verdana" w:hAnsi="Verdana" w:cs="Verdana"/>
          <w:sz w:val="22"/>
          <w:szCs w:val="22"/>
        </w:rPr>
        <w:t xml:space="preserve">Gergely Farkas, Area Manager for the East Europe Region, said: "With this expansion into Serbia, we strengthen our presence in the Eastern European region and aim to foster growth opportunities. We truly believe that our customers in Serbia will benefit from a new reliable logistics alternative in their market and the same high-quality service for which GLS is renowned.” </w:t>
      </w:r>
    </w:p>
    <w:bookmarkEnd w:id="3"/>
    <w:p w14:paraId="32A7E6B4" w14:textId="77777777" w:rsidR="0022138E" w:rsidRDefault="0022138E">
      <w:pPr>
        <w:rPr>
          <w:rFonts w:ascii="Verdana" w:eastAsia="Verdana" w:hAnsi="Verdana" w:cs="Verdana"/>
          <w:sz w:val="22"/>
          <w:szCs w:val="22"/>
        </w:rPr>
      </w:pPr>
    </w:p>
    <w:p w14:paraId="6E4A546A" w14:textId="77777777" w:rsidR="0022138E" w:rsidRDefault="00F33920">
      <w:pPr>
        <w:rPr>
          <w:sz w:val="22"/>
          <w:szCs w:val="22"/>
        </w:rPr>
      </w:pPr>
      <w:r>
        <w:rPr>
          <w:rFonts w:ascii="Calibri" w:eastAsia="Calibri" w:hAnsi="Calibri" w:cs="Calibri"/>
          <w:i/>
          <w:iCs/>
          <w:color w:val="0E101A"/>
          <w:sz w:val="22"/>
          <w:szCs w:val="22"/>
        </w:rPr>
        <w:t>###</w:t>
      </w:r>
    </w:p>
    <w:p w14:paraId="34955C39" w14:textId="77777777" w:rsidR="0022138E" w:rsidRDefault="0022138E">
      <w:pPr>
        <w:rPr>
          <w:rFonts w:ascii="Calibri" w:eastAsia="Calibri" w:hAnsi="Calibri" w:cs="Calibri"/>
          <w:i/>
          <w:iCs/>
          <w:color w:val="0E101A"/>
          <w:sz w:val="22"/>
          <w:szCs w:val="22"/>
        </w:rPr>
      </w:pPr>
    </w:p>
    <w:p w14:paraId="60FFB7F8" w14:textId="77777777" w:rsidR="0022138E" w:rsidRPr="00ED275E" w:rsidRDefault="00F33920">
      <w:pPr>
        <w:rPr>
          <w:rFonts w:ascii="Verdana" w:hAnsi="Verdana"/>
          <w:sz w:val="18"/>
          <w:szCs w:val="18"/>
        </w:rPr>
      </w:pPr>
      <w:r w:rsidRPr="00ED275E">
        <w:rPr>
          <w:rFonts w:ascii="Verdana" w:eastAsia="Calibri" w:hAnsi="Verdana" w:cs="Calibri"/>
          <w:b/>
          <w:bCs/>
          <w:sz w:val="18"/>
          <w:szCs w:val="18"/>
        </w:rPr>
        <w:t>About GLS</w:t>
      </w:r>
      <w:r w:rsidRPr="00ED275E">
        <w:rPr>
          <w:rFonts w:ascii="Verdana" w:eastAsia="Calibri" w:hAnsi="Verdana" w:cs="Calibri"/>
          <w:b/>
          <w:bCs/>
          <w:sz w:val="18"/>
          <w:szCs w:val="18"/>
        </w:rPr>
        <w:br/>
      </w:r>
      <w:proofErr w:type="spellStart"/>
      <w:r w:rsidRPr="00ED275E">
        <w:rPr>
          <w:rFonts w:ascii="Verdana" w:eastAsia="Calibri" w:hAnsi="Verdana" w:cs="Calibri"/>
          <w:sz w:val="18"/>
          <w:szCs w:val="18"/>
        </w:rPr>
        <w:t>GLS</w:t>
      </w:r>
      <w:proofErr w:type="spellEnd"/>
      <w:r w:rsidRPr="00ED275E">
        <w:rPr>
          <w:rFonts w:ascii="Verdana" w:eastAsia="Calibri" w:hAnsi="Verdana" w:cs="Calibri"/>
          <w:sz w:val="18"/>
          <w:szCs w:val="18"/>
        </w:rPr>
        <w:t xml:space="preserve"> Group is one of the largest self-reliant parcel services providers in Europe, with a strong local presence in almost all countries across the continent. It also operates through wholly-owned subsidiaries in Canada and on the USA’s West Coast within one GLS network. This allows GLS to seamlessly connect its customers and communities with millions of parcels and stories every day. GLS is proactive regarding network management, connecting its markets flexibly and agilely to respond to their fast-changing and dynamic nature. The company takes pride in providing its customers across about 40 countries with high-quality service that best suits their needs. The GLS network consists of over 120 hubs and more than 1,600 depots, supported by over 37,000 final-mile delivery vehicles and 4,500 long-distance trucks. This offers network resilience, superior flexibility, and extended reach. In 2021/22, GLS generated record </w:t>
      </w:r>
      <w:r w:rsidRPr="00ED275E">
        <w:rPr>
          <w:rFonts w:ascii="Verdana" w:eastAsia="Calibri" w:hAnsi="Verdana" w:cs="Calibri"/>
          <w:sz w:val="18"/>
          <w:szCs w:val="18"/>
        </w:rPr>
        <w:lastRenderedPageBreak/>
        <w:t>revenues of 5 billion euros and delivered 870 million parcels across the markets. For more information, visit:</w:t>
      </w:r>
      <w:r w:rsidRPr="00ED275E">
        <w:rPr>
          <w:rFonts w:ascii="Verdana" w:eastAsia="Calibri" w:hAnsi="Verdana" w:cs="Calibri"/>
          <w:sz w:val="18"/>
          <w:szCs w:val="18"/>
          <w:u w:val="single"/>
        </w:rPr>
        <w:t xml:space="preserve"> </w:t>
      </w:r>
      <w:hyperlink r:id="rId10" w:history="1">
        <w:r w:rsidRPr="00ED275E">
          <w:rPr>
            <w:rFonts w:ascii="Verdana" w:eastAsia="Calibri" w:hAnsi="Verdana" w:cs="Calibri"/>
            <w:color w:val="0000FF"/>
            <w:sz w:val="18"/>
            <w:szCs w:val="18"/>
            <w:u w:val="single" w:color="0000FF"/>
          </w:rPr>
          <w:t>https://gls-group.com</w:t>
        </w:r>
      </w:hyperlink>
    </w:p>
    <w:p w14:paraId="4D4186F3" w14:textId="77777777" w:rsidR="0022138E" w:rsidRPr="00ED275E" w:rsidRDefault="0022138E">
      <w:pPr>
        <w:rPr>
          <w:rFonts w:ascii="Calibri" w:eastAsia="Calibri" w:hAnsi="Calibri" w:cs="Calibri"/>
          <w:i/>
          <w:iCs/>
          <w:sz w:val="18"/>
          <w:szCs w:val="18"/>
        </w:rPr>
      </w:pPr>
    </w:p>
    <w:p w14:paraId="65E2FAA8" w14:textId="77777777" w:rsidR="0022138E" w:rsidRDefault="0022138E">
      <w:pPr>
        <w:spacing w:line="264" w:lineRule="auto"/>
        <w:rPr>
          <w:rFonts w:ascii="Verdana" w:eastAsia="Verdana" w:hAnsi="Verdana" w:cs="Verdana"/>
          <w:color w:val="231F20"/>
          <w:sz w:val="22"/>
          <w:szCs w:val="22"/>
        </w:rPr>
      </w:pPr>
    </w:p>
    <w:p w14:paraId="4FB6EBD4" w14:textId="77777777" w:rsidR="0022138E" w:rsidRDefault="0022138E">
      <w:pPr>
        <w:spacing w:line="264" w:lineRule="auto"/>
        <w:rPr>
          <w:rFonts w:ascii="Verdana" w:eastAsia="Verdana" w:hAnsi="Verdana" w:cs="Verdana"/>
          <w:color w:val="231F20"/>
          <w:sz w:val="22"/>
          <w:szCs w:val="22"/>
        </w:rPr>
      </w:pPr>
    </w:p>
    <w:sectPr w:rsidR="0022138E">
      <w:headerReference w:type="default" r:id="rId11"/>
      <w:footerReference w:type="default" r:id="rId12"/>
      <w:pgSz w:w="11906" w:h="16838"/>
      <w:pgMar w:top="2268" w:right="851"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B6B85" w14:textId="77777777" w:rsidR="00886D56" w:rsidRDefault="00886D56">
      <w:r>
        <w:separator/>
      </w:r>
    </w:p>
  </w:endnote>
  <w:endnote w:type="continuationSeparator" w:id="0">
    <w:p w14:paraId="09A4E1DC" w14:textId="77777777" w:rsidR="00886D56" w:rsidRDefault="0088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CellMar>
        <w:left w:w="0" w:type="dxa"/>
        <w:right w:w="0" w:type="dxa"/>
      </w:tblCellMar>
      <w:tblLook w:val="04A0" w:firstRow="1" w:lastRow="0" w:firstColumn="1" w:lastColumn="0" w:noHBand="0" w:noVBand="1"/>
    </w:tblPr>
    <w:tblGrid>
      <w:gridCol w:w="635"/>
      <w:gridCol w:w="5829"/>
      <w:gridCol w:w="3288"/>
    </w:tblGrid>
    <w:tr w:rsidR="0022138E" w14:paraId="13720AA9" w14:textId="77777777">
      <w:tc>
        <w:tcPr>
          <w:tcW w:w="6598" w:type="dxa"/>
          <w:gridSpan w:val="2"/>
          <w:tcMar>
            <w:top w:w="0" w:type="dxa"/>
            <w:left w:w="163" w:type="dxa"/>
            <w:bottom w:w="0" w:type="dxa"/>
            <w:right w:w="163" w:type="dxa"/>
          </w:tcMar>
        </w:tcPr>
        <w:p w14:paraId="7F0B4EC5" w14:textId="77777777" w:rsidR="0022138E" w:rsidRDefault="0022138E">
          <w:pPr>
            <w:spacing w:line="264" w:lineRule="auto"/>
            <w:rPr>
              <w:rFonts w:ascii="Verdana" w:eastAsia="Verdana" w:hAnsi="Verdana" w:cs="Verdana"/>
              <w:b/>
              <w:bCs/>
              <w:color w:val="000000"/>
              <w:sz w:val="16"/>
              <w:szCs w:val="16"/>
            </w:rPr>
          </w:pPr>
        </w:p>
      </w:tc>
      <w:tc>
        <w:tcPr>
          <w:tcW w:w="3374" w:type="dxa"/>
          <w:tcMar>
            <w:top w:w="0" w:type="dxa"/>
            <w:left w:w="163" w:type="dxa"/>
            <w:bottom w:w="0" w:type="dxa"/>
            <w:right w:w="163" w:type="dxa"/>
          </w:tcMar>
        </w:tcPr>
        <w:p w14:paraId="6FD9D94B" w14:textId="77777777" w:rsidR="0022138E" w:rsidRDefault="0022138E">
          <w:pPr>
            <w:spacing w:line="264" w:lineRule="auto"/>
            <w:jc w:val="right"/>
            <w:rPr>
              <w:rFonts w:ascii="Verdana" w:eastAsia="Verdana" w:hAnsi="Verdana" w:cs="Verdana"/>
              <w:color w:val="000000"/>
              <w:sz w:val="16"/>
              <w:szCs w:val="16"/>
            </w:rPr>
          </w:pPr>
        </w:p>
      </w:tc>
    </w:tr>
    <w:tr w:rsidR="0022138E" w14:paraId="07B6756A" w14:textId="77777777">
      <w:tc>
        <w:tcPr>
          <w:tcW w:w="644" w:type="dxa"/>
          <w:tcMar>
            <w:top w:w="0" w:type="dxa"/>
            <w:left w:w="163" w:type="dxa"/>
            <w:bottom w:w="0" w:type="dxa"/>
            <w:right w:w="163" w:type="dxa"/>
          </w:tcMar>
          <w:hideMark/>
        </w:tcPr>
        <w:p w14:paraId="190FA4FA" w14:textId="77777777" w:rsidR="0022138E" w:rsidRDefault="00F33920">
          <w:pPr>
            <w:spacing w:line="264" w:lineRule="auto"/>
            <w:rPr>
              <w:color w:val="000000"/>
              <w:sz w:val="16"/>
              <w:szCs w:val="16"/>
            </w:rPr>
          </w:pPr>
          <w:r>
            <w:rPr>
              <w:color w:val="000000"/>
              <w:sz w:val="16"/>
              <w:szCs w:val="16"/>
            </w:rPr>
            <w:fldChar w:fldCharType="begin"/>
          </w:r>
          <w:r>
            <w:rPr>
              <w:color w:val="000000"/>
              <w:sz w:val="16"/>
              <w:szCs w:val="16"/>
            </w:rPr>
            <w:instrText>PAGE   \* MERGEFORMAT</w:instrText>
          </w:r>
          <w:r>
            <w:rPr>
              <w:color w:val="000000"/>
              <w:sz w:val="16"/>
              <w:szCs w:val="16"/>
            </w:rPr>
            <w:fldChar w:fldCharType="separate"/>
          </w:r>
          <w:r>
            <w:rPr>
              <w:rFonts w:ascii="Verdana" w:eastAsia="Verdana" w:hAnsi="Verdana" w:cs="Verdana"/>
              <w:color w:val="000000"/>
              <w:sz w:val="16"/>
              <w:szCs w:val="16"/>
            </w:rPr>
            <w:t>2</w:t>
          </w:r>
          <w:r>
            <w:rPr>
              <w:rFonts w:ascii="Verdana" w:eastAsia="Verdana" w:hAnsi="Verdana" w:cs="Verdana"/>
              <w:color w:val="000000"/>
              <w:sz w:val="16"/>
              <w:szCs w:val="16"/>
            </w:rPr>
            <w:fldChar w:fldCharType="end"/>
          </w:r>
        </w:p>
      </w:tc>
      <w:tc>
        <w:tcPr>
          <w:tcW w:w="6064" w:type="dxa"/>
          <w:tcMar>
            <w:top w:w="0" w:type="dxa"/>
            <w:left w:w="163" w:type="dxa"/>
            <w:bottom w:w="0" w:type="dxa"/>
            <w:right w:w="163" w:type="dxa"/>
          </w:tcMar>
        </w:tcPr>
        <w:p w14:paraId="0838CB6A" w14:textId="77777777" w:rsidR="0022138E" w:rsidRDefault="0022138E">
          <w:pPr>
            <w:spacing w:line="264" w:lineRule="auto"/>
            <w:rPr>
              <w:rFonts w:ascii="Verdana" w:eastAsia="Verdana" w:hAnsi="Verdana" w:cs="Verdana"/>
              <w:color w:val="000000"/>
              <w:sz w:val="16"/>
              <w:szCs w:val="16"/>
            </w:rPr>
          </w:pPr>
        </w:p>
      </w:tc>
      <w:tc>
        <w:tcPr>
          <w:tcW w:w="3374" w:type="dxa"/>
          <w:tcMar>
            <w:top w:w="0" w:type="dxa"/>
            <w:left w:w="163" w:type="dxa"/>
            <w:bottom w:w="0" w:type="dxa"/>
            <w:right w:w="163" w:type="dxa"/>
          </w:tcMar>
          <w:hideMark/>
        </w:tcPr>
        <w:p w14:paraId="05E044A7" w14:textId="77777777" w:rsidR="0022138E" w:rsidRDefault="00F33920">
          <w:pPr>
            <w:spacing w:line="264" w:lineRule="auto"/>
            <w:jc w:val="right"/>
            <w:rPr>
              <w:color w:val="000000"/>
              <w:sz w:val="16"/>
              <w:szCs w:val="16"/>
            </w:rPr>
          </w:pPr>
          <w:r>
            <w:rPr>
              <w:rFonts w:ascii="Verdana" w:eastAsia="Verdana" w:hAnsi="Verdana" w:cs="Verdana"/>
              <w:color w:val="000000"/>
              <w:sz w:val="16"/>
              <w:szCs w:val="16"/>
            </w:rPr>
            <w:t>Confidential</w:t>
          </w:r>
        </w:p>
      </w:tc>
    </w:tr>
  </w:tbl>
  <w:p w14:paraId="7DC32691" w14:textId="77777777" w:rsidR="0022138E" w:rsidRDefault="0022138E">
    <w:pPr>
      <w:spacing w:line="264" w:lineRule="auto"/>
      <w:rPr>
        <w:rFonts w:ascii="Verdana" w:eastAsia="Verdana" w:hAnsi="Verdana" w:cs="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1EE1D" w14:textId="77777777" w:rsidR="00886D56" w:rsidRDefault="00886D56">
      <w:r>
        <w:separator/>
      </w:r>
    </w:p>
  </w:footnote>
  <w:footnote w:type="continuationSeparator" w:id="0">
    <w:p w14:paraId="08404D1B" w14:textId="77777777" w:rsidR="00886D56" w:rsidRDefault="00886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5271F" w14:textId="77777777" w:rsidR="0022138E" w:rsidRDefault="00F33920">
    <w:pPr>
      <w:jc w:val="right"/>
      <w:rPr>
        <w:sz w:val="20"/>
        <w:szCs w:val="20"/>
      </w:rPr>
    </w:pPr>
    <w:r>
      <w:rPr>
        <w:noProof/>
        <w:sz w:val="20"/>
        <w:szCs w:val="20"/>
      </w:rPr>
      <w:drawing>
        <wp:anchor distT="0" distB="0" distL="114300" distR="114300" simplePos="0" relativeHeight="251658240" behindDoc="1" locked="0" layoutInCell="1" allowOverlap="1" wp14:anchorId="24AC7871" wp14:editId="079546F8">
          <wp:simplePos x="0" y="0"/>
          <wp:positionH relativeFrom="column">
            <wp:posOffset>-718820</wp:posOffset>
          </wp:positionH>
          <wp:positionV relativeFrom="paragraph">
            <wp:posOffset>-490855</wp:posOffset>
          </wp:positionV>
          <wp:extent cx="19050" cy="9525"/>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9050" cy="9525"/>
                  </a:xfrm>
                  <a:prstGeom prst="rect">
                    <a:avLst/>
                  </a:prstGeom>
                </pic:spPr>
              </pic:pic>
            </a:graphicData>
          </a:graphic>
        </wp:anchor>
      </w:drawing>
    </w:r>
    <w:r>
      <w:rPr>
        <w:noProof/>
        <w:sz w:val="20"/>
        <w:szCs w:val="20"/>
      </w:rPr>
      <w:drawing>
        <wp:inline distT="0" distB="0" distL="0" distR="0" wp14:anchorId="04D04940" wp14:editId="4596D5B8">
          <wp:extent cx="1247775" cy="628650"/>
          <wp:effectExtent l="0" t="0" r="0" b="0"/>
          <wp:docPr id="100003" name="Picture 10000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1247775"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EBB28886">
      <w:start w:val="1"/>
      <w:numFmt w:val="bullet"/>
      <w:lvlText w:val=""/>
      <w:lvlJc w:val="left"/>
      <w:pPr>
        <w:ind w:left="720" w:hanging="360"/>
      </w:pPr>
      <w:rPr>
        <w:rFonts w:ascii="Symbol" w:hAnsi="Symbol"/>
        <w:b w:val="0"/>
        <w:bCs w:val="0"/>
      </w:rPr>
    </w:lvl>
    <w:lvl w:ilvl="1" w:tplc="27509030">
      <w:start w:val="1"/>
      <w:numFmt w:val="bullet"/>
      <w:lvlText w:val="o"/>
      <w:lvlJc w:val="left"/>
      <w:pPr>
        <w:tabs>
          <w:tab w:val="num" w:pos="1440"/>
        </w:tabs>
        <w:ind w:left="1440" w:hanging="360"/>
      </w:pPr>
      <w:rPr>
        <w:rFonts w:ascii="Courier New" w:hAnsi="Courier New"/>
      </w:rPr>
    </w:lvl>
    <w:lvl w:ilvl="2" w:tplc="076E5B2E">
      <w:start w:val="1"/>
      <w:numFmt w:val="bullet"/>
      <w:lvlText w:val=""/>
      <w:lvlJc w:val="left"/>
      <w:pPr>
        <w:tabs>
          <w:tab w:val="num" w:pos="2160"/>
        </w:tabs>
        <w:ind w:left="2160" w:hanging="360"/>
      </w:pPr>
      <w:rPr>
        <w:rFonts w:ascii="Wingdings" w:hAnsi="Wingdings"/>
      </w:rPr>
    </w:lvl>
    <w:lvl w:ilvl="3" w:tplc="82962658">
      <w:start w:val="1"/>
      <w:numFmt w:val="bullet"/>
      <w:lvlText w:val=""/>
      <w:lvlJc w:val="left"/>
      <w:pPr>
        <w:tabs>
          <w:tab w:val="num" w:pos="2880"/>
        </w:tabs>
        <w:ind w:left="2880" w:hanging="360"/>
      </w:pPr>
      <w:rPr>
        <w:rFonts w:ascii="Symbol" w:hAnsi="Symbol"/>
      </w:rPr>
    </w:lvl>
    <w:lvl w:ilvl="4" w:tplc="703621FC">
      <w:start w:val="1"/>
      <w:numFmt w:val="bullet"/>
      <w:lvlText w:val="o"/>
      <w:lvlJc w:val="left"/>
      <w:pPr>
        <w:tabs>
          <w:tab w:val="num" w:pos="3600"/>
        </w:tabs>
        <w:ind w:left="3600" w:hanging="360"/>
      </w:pPr>
      <w:rPr>
        <w:rFonts w:ascii="Courier New" w:hAnsi="Courier New"/>
      </w:rPr>
    </w:lvl>
    <w:lvl w:ilvl="5" w:tplc="36B63EC4">
      <w:start w:val="1"/>
      <w:numFmt w:val="bullet"/>
      <w:lvlText w:val=""/>
      <w:lvlJc w:val="left"/>
      <w:pPr>
        <w:tabs>
          <w:tab w:val="num" w:pos="4320"/>
        </w:tabs>
        <w:ind w:left="4320" w:hanging="360"/>
      </w:pPr>
      <w:rPr>
        <w:rFonts w:ascii="Wingdings" w:hAnsi="Wingdings"/>
      </w:rPr>
    </w:lvl>
    <w:lvl w:ilvl="6" w:tplc="71ECCD92">
      <w:start w:val="1"/>
      <w:numFmt w:val="bullet"/>
      <w:lvlText w:val=""/>
      <w:lvlJc w:val="left"/>
      <w:pPr>
        <w:tabs>
          <w:tab w:val="num" w:pos="5040"/>
        </w:tabs>
        <w:ind w:left="5040" w:hanging="360"/>
      </w:pPr>
      <w:rPr>
        <w:rFonts w:ascii="Symbol" w:hAnsi="Symbol"/>
      </w:rPr>
    </w:lvl>
    <w:lvl w:ilvl="7" w:tplc="161ED394">
      <w:start w:val="1"/>
      <w:numFmt w:val="bullet"/>
      <w:lvlText w:val="o"/>
      <w:lvlJc w:val="left"/>
      <w:pPr>
        <w:tabs>
          <w:tab w:val="num" w:pos="5760"/>
        </w:tabs>
        <w:ind w:left="5760" w:hanging="360"/>
      </w:pPr>
      <w:rPr>
        <w:rFonts w:ascii="Courier New" w:hAnsi="Courier New"/>
      </w:rPr>
    </w:lvl>
    <w:lvl w:ilvl="8" w:tplc="93E64E8E">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8E"/>
    <w:rsid w:val="00210561"/>
    <w:rsid w:val="0022138E"/>
    <w:rsid w:val="00430EF2"/>
    <w:rsid w:val="004959B9"/>
    <w:rsid w:val="006D2CE8"/>
    <w:rsid w:val="007450B5"/>
    <w:rsid w:val="00886D56"/>
    <w:rsid w:val="00A5402A"/>
    <w:rsid w:val="00D712CF"/>
    <w:rsid w:val="00E71A75"/>
    <w:rsid w:val="00ED275E"/>
    <w:rsid w:val="00F33920"/>
    <w:rsid w:val="00F46F56"/>
    <w:rsid w:val="14DAB296"/>
    <w:rsid w:val="3D9770FE"/>
    <w:rsid w:val="4F212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0F2A"/>
  <w15:docId w15:val="{38DF5308-A029-42DD-B788-0928AD9B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ls-group.eu/EU/en/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2d2b3b5-28a2-4a17-a384-22c5d26b7e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59A4203618154FB7DA217615F21E58" ma:contentTypeVersion="12" ma:contentTypeDescription="Create a new document." ma:contentTypeScope="" ma:versionID="896f98307459962190e52a980407f711">
  <xsd:schema xmlns:xsd="http://www.w3.org/2001/XMLSchema" xmlns:xs="http://www.w3.org/2001/XMLSchema" xmlns:p="http://schemas.microsoft.com/office/2006/metadata/properties" xmlns:ns3="12d2b3b5-28a2-4a17-a384-22c5d26b7e26" xmlns:ns4="0412765c-5a86-4f31-8744-0041889f992c" targetNamespace="http://schemas.microsoft.com/office/2006/metadata/properties" ma:root="true" ma:fieldsID="9816195c78fb7f4b02161b737acd1b8c" ns3:_="" ns4:_="">
    <xsd:import namespace="12d2b3b5-28a2-4a17-a384-22c5d26b7e26"/>
    <xsd:import namespace="0412765c-5a86-4f31-8744-0041889f992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2b3b5-28a2-4a17-a384-22c5d26b7e2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12765c-5a86-4f31-8744-0041889f992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3931B-FEFE-4363-91C5-3FA9B842B5AC}">
  <ds:schemaRefs>
    <ds:schemaRef ds:uri="http://schemas.microsoft.com/sharepoint/v3/contenttype/forms"/>
  </ds:schemaRefs>
</ds:datastoreItem>
</file>

<file path=customXml/itemProps2.xml><?xml version="1.0" encoding="utf-8"?>
<ds:datastoreItem xmlns:ds="http://schemas.openxmlformats.org/officeDocument/2006/customXml" ds:itemID="{9FFD0425-7D91-4C84-B51C-45CFC58F64FC}">
  <ds:schemaRefs>
    <ds:schemaRef ds:uri="http://schemas.microsoft.com/office/infopath/2007/PartnerControls"/>
    <ds:schemaRef ds:uri="http://purl.org/dc/dcmitype/"/>
    <ds:schemaRef ds:uri="http://purl.org/dc/elements/1.1/"/>
    <ds:schemaRef ds:uri="http://schemas.microsoft.com/office/2006/documentManagement/types"/>
    <ds:schemaRef ds:uri="0412765c-5a86-4f31-8744-0041889f992c"/>
    <ds:schemaRef ds:uri="http://schemas.openxmlformats.org/package/2006/metadata/core-properties"/>
    <ds:schemaRef ds:uri="12d2b3b5-28a2-4a17-a384-22c5d26b7e26"/>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AA6C4EDC-24FE-4A2C-A8AB-2A578C7DB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2b3b5-28a2-4a17-a384-22c5d26b7e26"/>
    <ds:schemaRef ds:uri="0412765c-5a86-4f31-8744-0041889f9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Modoran</dc:creator>
  <cp:lastModifiedBy>Loredana Modoran</cp:lastModifiedBy>
  <cp:revision>6</cp:revision>
  <dcterms:created xsi:type="dcterms:W3CDTF">2023-04-06T13:04:00Z</dcterms:created>
  <dcterms:modified xsi:type="dcterms:W3CDTF">2023-04-14T10:33:00Z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0x0101003A59A4203618154FB7DA217615F21E58</vt:lpwstr>
  </property>
</Properties>
</file>